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E8F9" w14:textId="77777777" w:rsidR="00A55584" w:rsidRDefault="00A55584" w:rsidP="00A55584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ACT SEGUIMIENTO – </w:t>
      </w:r>
      <w:r w:rsidRPr="00FA63BC">
        <w:rPr>
          <w:rFonts w:ascii="Arial" w:hAnsi="Arial" w:cs="Arial"/>
          <w:b/>
          <w:bCs/>
        </w:rPr>
        <w:t>002</w:t>
      </w:r>
      <w:r>
        <w:rPr>
          <w:rFonts w:ascii="Arial" w:hAnsi="Arial" w:cs="Arial"/>
          <w:b/>
          <w:bCs/>
        </w:rPr>
        <w:t xml:space="preserve"> – SM/09-04-2026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020F7F1A" w14:textId="77777777" w:rsidTr="00D53B7D">
        <w:trPr>
          <w:trHeight w:val="286"/>
          <w:jc w:val="center"/>
        </w:trPr>
        <w:tc>
          <w:tcPr>
            <w:tcW w:w="2689" w:type="dxa"/>
            <w:vAlign w:val="center"/>
          </w:tcPr>
          <w:p w14:paraId="6E8F65A1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0E3AD524" w14:textId="77777777" w:rsidR="00A55584" w:rsidRPr="001D4FBF" w:rsidRDefault="009C5976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30-04</w:t>
            </w:r>
            <w:r w:rsidR="00A55584" w:rsidRPr="001D4FBF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14:paraId="278BC4B1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6C5209EC" w14:textId="77777777" w:rsidTr="00D53B7D">
        <w:trPr>
          <w:trHeight w:val="1453"/>
          <w:jc w:val="center"/>
        </w:trPr>
        <w:tc>
          <w:tcPr>
            <w:tcW w:w="2689" w:type="dxa"/>
            <w:vAlign w:val="center"/>
          </w:tcPr>
          <w:p w14:paraId="38056F47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438AD162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B9A59" wp14:editId="219D34C1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D30556" w14:textId="77777777" w:rsidR="00A55584" w:rsidRPr="0044015C" w:rsidRDefault="00A55584" w:rsidP="00A5558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3B9A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A55584" w:rsidRPr="0044015C" w:rsidRDefault="00A55584" w:rsidP="00A5558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D4FB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DA3A9" wp14:editId="6B7C522C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1CE8B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14:paraId="3F8F673B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7B7818F9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6962A4" wp14:editId="34F9DC69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343735" w14:textId="77777777" w:rsidR="00A55584" w:rsidRPr="00CB5280" w:rsidRDefault="00A55584" w:rsidP="00A5558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962A4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A55584" w:rsidRPr="00CB5280" w:rsidRDefault="00A55584" w:rsidP="00A5558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D4FBF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896FC6" wp14:editId="6391F1A5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69E850" w14:textId="77777777" w:rsidR="00A55584" w:rsidRPr="00CB5280" w:rsidRDefault="00A55584" w:rsidP="00A5558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896FC6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A55584" w:rsidRPr="00CB5280" w:rsidRDefault="00A55584" w:rsidP="00A5558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6300CB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76223AA5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F02460" wp14:editId="47B0641F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903CD5" w14:textId="77777777" w:rsidR="00A55584" w:rsidRDefault="00A55584" w:rsidP="00A55584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F02460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A55584" w:rsidRDefault="00A55584" w:rsidP="00A55584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1A30B00C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Otros                                            Cual: Reunión Virtual</w:t>
            </w:r>
          </w:p>
          <w:p w14:paraId="58DE899C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2253A44A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0E8EF7D5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7DD2609A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0AD0FD38" w14:textId="77777777" w:rsidR="00A55584" w:rsidRPr="001D4FBF" w:rsidRDefault="00A55584" w:rsidP="00D53B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Inducción equipo Amazonas – Proyecto de Inversión Sala de Monitoreo</w:t>
            </w:r>
          </w:p>
        </w:tc>
      </w:tr>
    </w:tbl>
    <w:p w14:paraId="1DC6597B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244383DE" w14:textId="77777777" w:rsidTr="00D53B7D">
        <w:trPr>
          <w:trHeight w:val="95"/>
          <w:jc w:val="center"/>
        </w:trPr>
        <w:tc>
          <w:tcPr>
            <w:tcW w:w="2689" w:type="dxa"/>
            <w:vAlign w:val="center"/>
          </w:tcPr>
          <w:p w14:paraId="5D6398E0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50ECB75E" w14:textId="77777777" w:rsidR="00A55584" w:rsidRPr="001D4FBF" w:rsidRDefault="00A55584" w:rsidP="00D53B7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1D4FBF">
              <w:rPr>
                <w:rFonts w:ascii="Arial" w:eastAsia="Arial" w:hAnsi="Arial" w:cs="Arial"/>
                <w:sz w:val="20"/>
                <w:szCs w:val="20"/>
              </w:rPr>
              <w:t>Reunión virtual llevada a cabo mediante la plataforma Teams</w:t>
            </w:r>
          </w:p>
        </w:tc>
      </w:tr>
    </w:tbl>
    <w:p w14:paraId="4D2692A5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0A21C0C2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5BD4AA38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0892FDDD" w14:textId="77777777" w:rsidR="00A55584" w:rsidRPr="001D4FBF" w:rsidRDefault="00A55584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09-04-2026</w:t>
            </w:r>
          </w:p>
        </w:tc>
      </w:tr>
    </w:tbl>
    <w:p w14:paraId="4BEC922A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A55584" w:rsidRPr="001D4FBF" w14:paraId="0C258A6C" w14:textId="77777777" w:rsidTr="00D53B7D">
        <w:trPr>
          <w:jc w:val="center"/>
        </w:trPr>
        <w:tc>
          <w:tcPr>
            <w:tcW w:w="2689" w:type="dxa"/>
            <w:vAlign w:val="center"/>
          </w:tcPr>
          <w:p w14:paraId="4DB03E3B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7D5049A0" w14:textId="77777777" w:rsidR="00A55584" w:rsidRPr="001D4FBF" w:rsidRDefault="00A55584" w:rsidP="00D53B7D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Yury Marentes, Equipo Sala de Monitoreo Amazonas</w:t>
            </w:r>
          </w:p>
        </w:tc>
      </w:tr>
    </w:tbl>
    <w:p w14:paraId="173BF820" w14:textId="77777777" w:rsidR="00A55584" w:rsidRPr="001D4FBF" w:rsidRDefault="00A55584" w:rsidP="00A5558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1700"/>
        <w:gridCol w:w="8076"/>
      </w:tblGrid>
      <w:tr w:rsidR="00A55584" w:rsidRPr="001D4FBF" w14:paraId="224C65D6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72AAA183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17032025" w14:textId="77777777" w:rsidR="00D93B21" w:rsidRPr="001D4FBF" w:rsidRDefault="00D93B21" w:rsidP="00D93B2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Objetivo de la reunión</w:t>
            </w:r>
          </w:p>
          <w:p w14:paraId="6DF4E12A" w14:textId="77777777" w:rsidR="00D93B21" w:rsidRPr="001D4FBF" w:rsidRDefault="00D93B21" w:rsidP="00D93B21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666EEB29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Socializar el alcance, estructura, fundamentos técnicos y metodológicos del proyecto de inversión Implementación de la Sala de Monitoreo, orientar al equipo en la formulación de planes de trabajo y productos esperados.</w:t>
            </w:r>
          </w:p>
          <w:p w14:paraId="48407B1B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F9445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 Temas tratados</w:t>
            </w:r>
          </w:p>
          <w:p w14:paraId="0CA816A0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78BFD5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2.1 Enfoque del proyecto de inversión: Se presentó el enfoque socioambiental del proyecto, el cual integra dimensiones técnicas, ambientales, sociales, culturales y económicas, promoviendo un análisis transdisciplinar de los fenómenos asociados al aprovechamiento de minerales. Se destacó el uso de nuevas tecnologías para el monitoreo y análisis territorial.</w:t>
            </w:r>
          </w:p>
          <w:p w14:paraId="5E6421B3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DA944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2.2 Equipo de trabajo</w:t>
            </w:r>
          </w:p>
          <w:p w14:paraId="04037C5C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resaltó la conformación de un equipo transdisciplinar (ingenieros, geólogos, economistas, profesionales ambientales, entre otros), orientado a generar análisis integrales desde diferentes enfoques técnicos.</w:t>
            </w:r>
          </w:p>
          <w:p w14:paraId="14C6830E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9E7B51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2.3 Características del proyecto de inversión</w:t>
            </w:r>
          </w:p>
          <w:p w14:paraId="40ED93FD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Inicio: 2025 </w:t>
            </w:r>
          </w:p>
          <w:p w14:paraId="75532846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Horizonte: 2025–2028 </w:t>
            </w:r>
          </w:p>
          <w:p w14:paraId="123CFDB1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Financiación: Presupuesto General de la Nación </w:t>
            </w:r>
          </w:p>
          <w:p w14:paraId="48DD374F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Ejecución anual de recursos </w:t>
            </w:r>
          </w:p>
          <w:p w14:paraId="699F9A87" w14:textId="77777777" w:rsidR="00D93B21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Adscrito al Viceministerio de Minas </w:t>
            </w:r>
          </w:p>
          <w:p w14:paraId="2AF81C2A" w14:textId="77777777" w:rsidR="001D4FBF" w:rsidRDefault="001D4FBF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5D390C" w14:textId="77777777" w:rsidR="001D4FBF" w:rsidRPr="001D4FBF" w:rsidRDefault="001D4FBF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24745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4E799" w14:textId="77777777" w:rsidR="00D93B21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lastRenderedPageBreak/>
              <w:t>2.4 Marco institucional y normativo</w:t>
            </w:r>
          </w:p>
          <w:p w14:paraId="5745C800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contextualizó el rol del Ministerio en la formulación de políticas, seguimiento del sector minero y articulación con entidades adscritas. Se enfatizó en el desarrollo sostenible, la justicia ambiental, el ordenamiento territorial y el enfoque en pequeña, mediana y gran minería.</w:t>
            </w:r>
          </w:p>
          <w:p w14:paraId="2B1685A9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12802F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2.5 Evolución del proyecto y alcance actual</w:t>
            </w:r>
          </w:p>
          <w:p w14:paraId="52CC521B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explicó la transición desde proyectos anteriores enfocados en prevención y control hacia un enfoque más integral de análisis del fenómeno minero, incluyendo múltiples minerales (oro, materiales de arrastre, carbón y esmeraldas).</w:t>
            </w:r>
          </w:p>
          <w:p w14:paraId="0376B725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5CB80A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2.6 Metodologías de monitoreo</w:t>
            </w:r>
          </w:p>
          <w:p w14:paraId="0C0D6148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presentó la metodología basada en:</w:t>
            </w:r>
          </w:p>
          <w:p w14:paraId="7859AE31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Imágenes satelitales </w:t>
            </w:r>
          </w:p>
          <w:p w14:paraId="237C7FFE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Análisis de evidencias de explotación minera </w:t>
            </w:r>
          </w:p>
          <w:p w14:paraId="7A470637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Identificación de áreas con uso de maquinaria </w:t>
            </w:r>
          </w:p>
          <w:p w14:paraId="11C66F1C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Clasificación de legalidad (legal, en formalización, ilegal) </w:t>
            </w:r>
          </w:p>
          <w:p w14:paraId="04A133B5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>Monitoreo de ríos mediante análisis espectral.</w:t>
            </w:r>
          </w:p>
          <w:p w14:paraId="37495283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EF486E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destacó el trabajo conjunto con organismos internacionales para el procesamiento y validación de información.</w:t>
            </w:r>
          </w:p>
          <w:p w14:paraId="00BA5977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06D1DF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2.7 Articulación institucional y territorial</w:t>
            </w:r>
          </w:p>
          <w:p w14:paraId="08AE0EDD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enfatizó en la necesidad de integrar:</w:t>
            </w:r>
          </w:p>
          <w:p w14:paraId="187CF1C4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Instituciones del Estado </w:t>
            </w:r>
          </w:p>
          <w:p w14:paraId="0C53B440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Comunidades locales </w:t>
            </w:r>
          </w:p>
          <w:p w14:paraId="0236B463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Actores étnicos </w:t>
            </w:r>
          </w:p>
          <w:p w14:paraId="07B2ED7B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Academia </w:t>
            </w:r>
          </w:p>
          <w:p w14:paraId="764D49A8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FB38A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Así como fortalecer la gobernanza de datos, la interoperabilidad de la información y la transparencia.</w:t>
            </w:r>
          </w:p>
          <w:p w14:paraId="0B676B29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6B5F3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2.8 Categorías de monitoreo</w:t>
            </w:r>
          </w:p>
          <w:p w14:paraId="5FFEEBA4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definieron cuatro categorías principales:</w:t>
            </w:r>
          </w:p>
          <w:p w14:paraId="51A2CD8A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Geología y suelos </w:t>
            </w:r>
          </w:p>
          <w:p w14:paraId="6DB4149A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Biodiversidad </w:t>
            </w:r>
          </w:p>
          <w:p w14:paraId="3087403F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Ecosistemas acuáticos </w:t>
            </w:r>
          </w:p>
          <w:p w14:paraId="4FB884BB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Mercado de minerales </w:t>
            </w:r>
          </w:p>
          <w:p w14:paraId="74C8DD96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E9B3A9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2.9 Productos del proyecto</w:t>
            </w:r>
          </w:p>
          <w:p w14:paraId="189E3117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Informes de monitoreo </w:t>
            </w:r>
          </w:p>
          <w:p w14:paraId="07CDF8E7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Documentos de investigación </w:t>
            </w:r>
          </w:p>
          <w:p w14:paraId="03D27C94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Informes de asistencia técnica </w:t>
            </w:r>
          </w:p>
          <w:p w14:paraId="3D01F842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Estrategias de divulgación </w:t>
            </w:r>
          </w:p>
          <w:p w14:paraId="0F9DC230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Desarrollo metodológico </w:t>
            </w:r>
          </w:p>
          <w:p w14:paraId="322F667B" w14:textId="77777777" w:rsidR="007A713B" w:rsidRPr="001D4FBF" w:rsidRDefault="007A713B" w:rsidP="00D93B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7B5B9E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2.10 Indicadores del proyecto</w:t>
            </w:r>
          </w:p>
          <w:p w14:paraId="1A769B8F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Se establecieron indicadores como:</w:t>
            </w:r>
          </w:p>
          <w:p w14:paraId="533A8AA6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Hectáreas con evidencia de explotación minera </w:t>
            </w:r>
          </w:p>
          <w:p w14:paraId="07E5EA02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Pérdida de cobertura vegetal </w:t>
            </w:r>
          </w:p>
          <w:p w14:paraId="1A4F1131" w14:textId="77777777" w:rsidR="00D93B21" w:rsidRPr="001D4FBF" w:rsidRDefault="00D93B21" w:rsidP="00D93B21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 xml:space="preserve">Conflictos por uso del suelo </w:t>
            </w:r>
          </w:p>
          <w:p w14:paraId="66533CB2" w14:textId="77777777" w:rsidR="007A713B" w:rsidRPr="001D4FBF" w:rsidRDefault="00D93B21" w:rsidP="001D4FBF">
            <w:pPr>
              <w:rPr>
                <w:rFonts w:ascii="Arial" w:hAnsi="Arial" w:cs="Arial"/>
                <w:sz w:val="20"/>
                <w:szCs w:val="20"/>
              </w:rPr>
            </w:pPr>
            <w:r w:rsidRPr="001D4FBF">
              <w:rPr>
                <w:rFonts w:ascii="Arial" w:hAnsi="Arial" w:cs="Arial"/>
                <w:sz w:val="20"/>
                <w:szCs w:val="20"/>
              </w:rPr>
              <w:t>•</w:t>
            </w:r>
            <w:r w:rsidRPr="001D4FBF">
              <w:rPr>
                <w:rFonts w:ascii="Arial" w:hAnsi="Arial" w:cs="Arial"/>
                <w:sz w:val="20"/>
                <w:szCs w:val="20"/>
              </w:rPr>
              <w:tab/>
              <w:t>Impactos socioambientales</w:t>
            </w:r>
          </w:p>
        </w:tc>
      </w:tr>
      <w:tr w:rsidR="00A55584" w:rsidRPr="001D4FBF" w14:paraId="5313DEB4" w14:textId="77777777" w:rsidTr="00D53B7D">
        <w:trPr>
          <w:trHeight w:val="211"/>
          <w:jc w:val="center"/>
        </w:trPr>
        <w:tc>
          <w:tcPr>
            <w:tcW w:w="2689" w:type="dxa"/>
            <w:vAlign w:val="center"/>
          </w:tcPr>
          <w:p w14:paraId="67EB8F2B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52E048F3" w14:textId="77777777" w:rsidR="001D4FBF" w:rsidRDefault="001D4FBF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015B7470" w14:textId="77777777" w:rsidR="00B17ACD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Conclusiones</w:t>
            </w:r>
          </w:p>
          <w:p w14:paraId="2C8E9E37" w14:textId="77777777" w:rsidR="001D4FBF" w:rsidRPr="001D4FBF" w:rsidRDefault="001D4FBF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658804A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• El proyecto de sala de monitoreo representa una apuesta estratégica para el análisis integral del sector minero con enfoque socioambiental. </w:t>
            </w:r>
          </w:p>
          <w:p w14:paraId="3C3E9A32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48AE4342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• La articulación interinstitucional y la participación comunitaria son fundamentales para la comprensión del fenómeno minero. </w:t>
            </w:r>
          </w:p>
          <w:p w14:paraId="605725AC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0A4D2A81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• El uso de tecnologías como imágenes satelitales fortalece la toma de decisiones basada en evidencia. </w:t>
            </w:r>
          </w:p>
          <w:p w14:paraId="4D64435F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1A79694F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• La estructuración de metodologías por categorías permitirá generar información técnica robusta y aplicable a la política pública.</w:t>
            </w:r>
          </w:p>
          <w:p w14:paraId="3EC9AE5A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 </w:t>
            </w:r>
          </w:p>
          <w:p w14:paraId="5A328471" w14:textId="77777777" w:rsidR="00B17ACD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• Es fundamental que cada integrante del equipo alinee su plan de trabajo con los productos e indicadores del proyecto. </w:t>
            </w:r>
          </w:p>
          <w:p w14:paraId="5F0FC368" w14:textId="77777777" w:rsidR="001D4FBF" w:rsidRPr="001D4FBF" w:rsidRDefault="001D4FBF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AC85D3F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73AE2C60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Compromisos</w:t>
            </w:r>
          </w:p>
          <w:p w14:paraId="7BE94DB1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40567204" w14:textId="77777777" w:rsidR="00B17ACD" w:rsidRPr="001D4FBF" w:rsidRDefault="00B17ACD" w:rsidP="00B17ACD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Coordinación de capacitación con Naciones Unidas (COMPROMISO PRIORITARIO): </w:t>
            </w:r>
          </w:p>
          <w:p w14:paraId="4F60E0E3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Gestionar y coordinar una jornada de capacitación con el equipo de Naciones Unidas, con el fin de profundizar en la metodología de monitoreo (especialmente análisis satelital y estudios de explotación de oro de aluvión), acceso a sistemas de información y uso de herramientas técnicas. Responsable: Yury Marentes. Plazo: Tentativamente la semana siguiente a la reunión.</w:t>
            </w:r>
          </w:p>
          <w:p w14:paraId="52A051B6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6B6B8683" w14:textId="77777777" w:rsidR="00B17ACD" w:rsidRPr="001D4FBF" w:rsidRDefault="00B17ACD" w:rsidP="00B17ACD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Socialización de información:</w:t>
            </w:r>
          </w:p>
          <w:p w14:paraId="17142FCD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Compartir la presentación y documentos del proyecto de inversión con todos los integrantes del equipo. </w:t>
            </w:r>
          </w:p>
          <w:p w14:paraId="7C7A87A3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03B272F4" w14:textId="77777777" w:rsidR="00B17ACD" w:rsidRPr="001D4FBF" w:rsidRDefault="00B17ACD" w:rsidP="00B17ACD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Formulación de planes de trabajo:</w:t>
            </w:r>
          </w:p>
          <w:p w14:paraId="6FF09BFB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Cada profesional deberá estructurar su plan de trabajo alineado con las categorías de monitoreo y productos del proyecto. </w:t>
            </w:r>
          </w:p>
          <w:p w14:paraId="7C9CE5DD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2A2B4EE4" w14:textId="77777777" w:rsidR="00B17ACD" w:rsidRPr="001D4FBF" w:rsidRDefault="00B17ACD" w:rsidP="00B17ACD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Articulación técnica del equipo:</w:t>
            </w:r>
          </w:p>
          <w:p w14:paraId="5A7E4131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Coordinar la integración de información de los diferentes profesionales y territorios para la consolidación de informes.</w:t>
            </w:r>
          </w:p>
          <w:p w14:paraId="3897CFC4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Responsable: Jorge Rojas </w:t>
            </w:r>
          </w:p>
          <w:p w14:paraId="330A5950" w14:textId="77777777" w:rsidR="00B17ACD" w:rsidRPr="001D4FBF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2F111400" w14:textId="77777777" w:rsidR="00B17ACD" w:rsidRPr="001D4FBF" w:rsidRDefault="00B17ACD" w:rsidP="00B17ACD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>Aporte a productos del proyecto:</w:t>
            </w:r>
          </w:p>
          <w:p w14:paraId="3D3917D8" w14:textId="77777777" w:rsidR="00B17ACD" w:rsidRDefault="00B17ACD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sz w:val="20"/>
                <w:szCs w:val="20"/>
                <w:lang w:val="es-ES" w:eastAsia="es-CO"/>
              </w:rPr>
              <w:t xml:space="preserve">Cada integrante deberá contribuir al cumplimiento de los productos definidos (informes, indicadores, metodologías y asistencia técnica). </w:t>
            </w:r>
          </w:p>
          <w:p w14:paraId="52549D1F" w14:textId="77777777" w:rsidR="001D4FBF" w:rsidRDefault="001D4FBF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131C9E6F" w14:textId="77777777" w:rsidR="001D4FBF" w:rsidRPr="001D4FBF" w:rsidRDefault="001D4FBF" w:rsidP="00B17AC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4BF6B894" w14:textId="77777777" w:rsidR="00A55584" w:rsidRPr="001D4FBF" w:rsidRDefault="00A55584" w:rsidP="00D53B7D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A55584" w:rsidRPr="001D4FBF" w14:paraId="5086A89F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3C539088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14:paraId="6CDC95E2" w14:textId="77777777" w:rsidR="00A55584" w:rsidRPr="001D4FBF" w:rsidRDefault="00A55584" w:rsidP="00D53B7D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656EEF31" w14:textId="77777777" w:rsidR="00A55584" w:rsidRPr="001D4FBF" w:rsidRDefault="00025945" w:rsidP="00D53B7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1D4FB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lastRenderedPageBreak/>
              <w:drawing>
                <wp:inline distT="0" distB="0" distL="0" distR="0" wp14:anchorId="61E7CA0A" wp14:editId="35041F6D">
                  <wp:extent cx="4969510" cy="2581275"/>
                  <wp:effectExtent l="0" t="0" r="2540" b="9525"/>
                  <wp:docPr id="3" name="Imagen 3" descr="C:\Users\YESMYN CARRILLO\Downloads\REUNION 9 DE ABRIL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ESMYN CARRILLO\Downloads\REUNION 9 DE ABRIL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0770" cy="2592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DB20CF" w14:textId="77777777" w:rsidR="00025945" w:rsidRPr="001D4FBF" w:rsidRDefault="00025945" w:rsidP="00D53B7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A55584" w:rsidRPr="001D4FBF" w14:paraId="5028938C" w14:textId="77777777" w:rsidTr="00D53B7D">
        <w:trPr>
          <w:trHeight w:val="283"/>
          <w:jc w:val="center"/>
        </w:trPr>
        <w:tc>
          <w:tcPr>
            <w:tcW w:w="2689" w:type="dxa"/>
            <w:vAlign w:val="center"/>
          </w:tcPr>
          <w:p w14:paraId="58FFCC87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68563F0B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4FBD6755" w14:textId="77777777" w:rsidR="00A55584" w:rsidRPr="001D4FBF" w:rsidRDefault="00A55584" w:rsidP="00D53B7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3031F5A8" w14:textId="77777777" w:rsidR="00A55584" w:rsidRPr="001D4FBF" w:rsidRDefault="00A55584" w:rsidP="00D53B7D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07A9F657" w14:textId="77777777" w:rsidR="00025945" w:rsidRPr="001D4FBF" w:rsidRDefault="00025945" w:rsidP="00D53B7D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 w:rsidRPr="001D4FB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28A033B7" wp14:editId="0666E8F8">
                  <wp:extent cx="4989995" cy="2628900"/>
                  <wp:effectExtent l="0" t="0" r="1270" b="0"/>
                  <wp:docPr id="4" name="Imagen 4" descr="C:\Users\YESMYN CARRILLO\Downloads\REUNION 9 DE ABRIL 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ESMYN CARRILLO\Downloads\REUNION 9 DE ABRIL 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1890" cy="2645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5C25F3" w14:textId="77777777" w:rsidR="00A55584" w:rsidRPr="001D4FBF" w:rsidRDefault="00A55584" w:rsidP="00D53B7D">
            <w:pP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14:paraId="3FB14B82" w14:textId="77777777" w:rsidR="00A55584" w:rsidRPr="001D4FBF" w:rsidRDefault="00A55584" w:rsidP="00A555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0FAA986A" w14:textId="5CCB82D4" w:rsidR="00A55584" w:rsidRPr="001D4FBF" w:rsidRDefault="007440BF" w:rsidP="00A5558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val="es-ES" w:eastAsia="es-CO"/>
        </w:rPr>
        <w:drawing>
          <wp:anchor distT="0" distB="0" distL="114300" distR="114300" simplePos="0" relativeHeight="251664384" behindDoc="1" locked="0" layoutInCell="1" allowOverlap="1" wp14:anchorId="68E84150" wp14:editId="4A0E7294">
            <wp:simplePos x="0" y="0"/>
            <wp:positionH relativeFrom="column">
              <wp:posOffset>975360</wp:posOffset>
            </wp:positionH>
            <wp:positionV relativeFrom="paragraph">
              <wp:posOffset>8462</wp:posOffset>
            </wp:positionV>
            <wp:extent cx="862330" cy="743585"/>
            <wp:effectExtent l="0" t="0" r="0" b="0"/>
            <wp:wrapNone/>
            <wp:docPr id="151342130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421300" name="Imagen 151342130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27F1E" w14:textId="11CC1197" w:rsidR="00663B8D" w:rsidRDefault="00663B8D" w:rsidP="00663B8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</w:t>
      </w:r>
    </w:p>
    <w:p w14:paraId="78238BC5" w14:textId="77777777" w:rsidR="00663B8D" w:rsidRDefault="00663B8D" w:rsidP="00663B8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  </w:t>
      </w:r>
    </w:p>
    <w:p w14:paraId="06B5F7BC" w14:textId="77777777" w:rsidR="00663B8D" w:rsidRDefault="00663B8D" w:rsidP="00663B8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0DEDA1D2" w14:textId="77777777" w:rsidR="00663B8D" w:rsidRDefault="00663B8D" w:rsidP="00663B8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7065A371" w14:textId="6CBDEA7B" w:rsidR="00663B8D" w:rsidRDefault="00663B8D" w:rsidP="00663B8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7440BF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2F3AD2FB" w14:textId="25EBB105" w:rsidR="00663B8D" w:rsidRDefault="00663B8D" w:rsidP="00663B8D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  <w:r w:rsidR="00025945" w:rsidRPr="001D4FBF">
        <w:rPr>
          <w:rFonts w:ascii="Arial" w:hAnsi="Arial" w:cs="Arial"/>
          <w:noProof/>
          <w:sz w:val="20"/>
          <w:szCs w:val="20"/>
          <w:lang w:eastAsia="es-CO"/>
        </w:rPr>
        <w:t xml:space="preserve"> </w:t>
      </w:r>
    </w:p>
    <w:p w14:paraId="46819B98" w14:textId="1EC43541" w:rsidR="00E5582E" w:rsidRDefault="00E5582E" w:rsidP="001D4FBF">
      <w:pPr>
        <w:spacing w:after="0" w:line="240" w:lineRule="auto"/>
        <w:jc w:val="both"/>
      </w:pPr>
    </w:p>
    <w:sectPr w:rsidR="00E5582E" w:rsidSect="006B4769">
      <w:headerReference w:type="default" r:id="rId13"/>
      <w:footerReference w:type="default" r:id="rId14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4976" w14:textId="77777777" w:rsidR="006D0CCE" w:rsidRDefault="006D0CCE">
      <w:pPr>
        <w:spacing w:after="0" w:line="240" w:lineRule="auto"/>
      </w:pPr>
      <w:r>
        <w:separator/>
      </w:r>
    </w:p>
  </w:endnote>
  <w:endnote w:type="continuationSeparator" w:id="0">
    <w:p w14:paraId="018ED90B" w14:textId="77777777" w:rsidR="006D0CCE" w:rsidRDefault="006D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1256" w14:textId="77777777" w:rsidR="00982839" w:rsidRDefault="00B17AC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35D798AF" wp14:editId="2B0930E4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29BD" w14:textId="77777777" w:rsidR="006D0CCE" w:rsidRDefault="006D0CCE">
      <w:pPr>
        <w:spacing w:after="0" w:line="240" w:lineRule="auto"/>
      </w:pPr>
      <w:r>
        <w:separator/>
      </w:r>
    </w:p>
  </w:footnote>
  <w:footnote w:type="continuationSeparator" w:id="0">
    <w:p w14:paraId="0D7DA04D" w14:textId="77777777" w:rsidR="006D0CCE" w:rsidRDefault="006D0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156B" w14:textId="77777777" w:rsidR="00982839" w:rsidRDefault="00B17ACD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6F671ED" wp14:editId="477D8802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08F1"/>
    <w:multiLevelType w:val="hybridMultilevel"/>
    <w:tmpl w:val="2C08B2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87A6F"/>
    <w:multiLevelType w:val="hybridMultilevel"/>
    <w:tmpl w:val="4A3439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F1B6D"/>
    <w:multiLevelType w:val="hybridMultilevel"/>
    <w:tmpl w:val="1C6CA0FC"/>
    <w:lvl w:ilvl="0" w:tplc="7C50A8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119C3"/>
    <w:multiLevelType w:val="hybridMultilevel"/>
    <w:tmpl w:val="D16E14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460820">
    <w:abstractNumId w:val="0"/>
  </w:num>
  <w:num w:numId="2" w16cid:durableId="300383793">
    <w:abstractNumId w:val="2"/>
  </w:num>
  <w:num w:numId="3" w16cid:durableId="672299686">
    <w:abstractNumId w:val="1"/>
  </w:num>
  <w:num w:numId="4" w16cid:durableId="1278023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84"/>
    <w:rsid w:val="00025945"/>
    <w:rsid w:val="001D4FBF"/>
    <w:rsid w:val="001F3D57"/>
    <w:rsid w:val="0026080D"/>
    <w:rsid w:val="003E6A2E"/>
    <w:rsid w:val="00663B8D"/>
    <w:rsid w:val="006D0CCE"/>
    <w:rsid w:val="00712495"/>
    <w:rsid w:val="007440BF"/>
    <w:rsid w:val="007522A6"/>
    <w:rsid w:val="00793FCC"/>
    <w:rsid w:val="007A713B"/>
    <w:rsid w:val="00846133"/>
    <w:rsid w:val="00982839"/>
    <w:rsid w:val="00995117"/>
    <w:rsid w:val="009C5976"/>
    <w:rsid w:val="00A55584"/>
    <w:rsid w:val="00B17ACD"/>
    <w:rsid w:val="00C601F6"/>
    <w:rsid w:val="00D93B21"/>
    <w:rsid w:val="00E076F4"/>
    <w:rsid w:val="00E5582E"/>
    <w:rsid w:val="00FA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593A44"/>
  <w15:chartTrackingRefBased/>
  <w15:docId w15:val="{FC868180-4AC5-4842-806B-82383A06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58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55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5584"/>
  </w:style>
  <w:style w:type="paragraph" w:styleId="Piedepgina">
    <w:name w:val="footer"/>
    <w:basedOn w:val="Normal"/>
    <w:link w:val="PiedepginaCar"/>
    <w:uiPriority w:val="99"/>
    <w:unhideWhenUsed/>
    <w:rsid w:val="00A555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5584"/>
  </w:style>
  <w:style w:type="table" w:styleId="Tablaconcuadrcula">
    <w:name w:val="Table Grid"/>
    <w:basedOn w:val="Tablanormal"/>
    <w:uiPriority w:val="39"/>
    <w:rsid w:val="00A5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55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93B21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663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E84CFF4A-6747-49B5-B5EF-9CB66953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87665-D85E-4E5E-8C7F-70D787DB41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82F22-8EB1-4FEC-850B-8184998080E7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852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9</cp:revision>
  <dcterms:created xsi:type="dcterms:W3CDTF">2026-04-09T22:57:00Z</dcterms:created>
  <dcterms:modified xsi:type="dcterms:W3CDTF">2026-07-21T09:41:00Z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